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43" w:rsidRPr="00793F43" w:rsidRDefault="00793F43" w:rsidP="00793F43">
      <w:pPr>
        <w:widowControl/>
        <w:shd w:val="clear" w:color="auto" w:fill="FFFFFF"/>
        <w:spacing w:line="560" w:lineRule="exact"/>
        <w:ind w:firstLine="420"/>
        <w:jc w:val="center"/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b/>
          <w:bCs/>
          <w:color w:val="000000" w:themeColor="text1"/>
          <w:kern w:val="0"/>
          <w:sz w:val="32"/>
          <w:szCs w:val="32"/>
        </w:rPr>
        <w:t>2022年度省部共建重大项目申报指南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为贯彻落实“十四五”期间国家和我省卫生健康科技创新有关部署安排，按照重大科研项目统一设计、重点部署、分步实施的要求，现就有关申报领域和要求通知如下：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领域一：新冠变异病毒防控技术研究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根据新冠变异病毒在全球流行的特点，研究变异病毒的传染性、致病性等流行特征，评估变异病毒对人群的风险和疫苗保护作用，在此基础上，研发新型变异病毒检测、新型疫苗等关键技术等，形成应对新冠变异病毒的防控能力，为有效防控新冠变异病毒传播提供技术储备和应对策略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成果考核形式：基于新冠变异病毒相关样本数据，建立新型病原体检测技术、疫苗关键技术1-2项，构建1套安全高效的新冠变异病毒验证、评价、测试技术平台。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领域二：严重心脑血管疾病诊治关键技术研究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主要针对冠心病、心梗、脑梗等重要心血管疾病原发与继发损害的早诊和治疗关键技术，分析技术应用的安全性和可行性，开展治疗效果比较研究，进一步筛选适合于人群筛查更为特异的预测指标、规范化手术流程和治疗策略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成果考核形式：提出降低高危人群心血管疾病发生率、死亡率的优化早诊与治疗方案，完成不同特定人群治疗效果的评价，建立重要心血管疾病临床治疗策略和技术组合1-2项，并在省内外5家以上医院推广应用。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lastRenderedPageBreak/>
        <w:t>领域三：消化道高发恶性肿瘤精准治疗策略优化研究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主要针对胃癌、食管癌、结直肠癌等消化道高发恶性肿瘤患者，综合分析研究其临床特征、分子生物学特征，通过生物学、基因组学等方法，提出不同阶段精准治疗方式，并通过随机对照等规范的临床前研究和临床研究，对治疗策略效果进行评价并不断优化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成果考核形式：验证并评价不少于3种安全有效的治疗技术或手段，评价不少于2项综合治疗新策略，完成临床方案的优化研究，在省内外5家以上医院推广应用。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领域四：重大突发公共事件中急危重症综合救治技术体系和规范研究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主要针对重大突发公共卫生事件中的急危重症综合救治，开展技术体系和规范研究，在评估预警、并发症防治、预后判断等关键节点，建立体系化、规范化和序列性的多学科技术诊治方案，尝试新型标志物、传感器、纳米材料等先进技术的应用，并通过临床验证其有效性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成果考核形式：形成重大突发公共卫生事件综合救治新技术、新方法3-4项，建立1套多学科临床救治综合技术体系与规范，在省内外3家以上医院推广应用。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领域五：老年人功能退行性疾病诊治技术和策略优化研究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:主要针对老年人帕金森病、阿尔茨海默病、盆底功能障碍性疾病等功能退行性疾病，开展多学科协同解决退行性疾病问题的临床关键技术研究，并结合免疫系统、神经系统、生殖系统的遗传学、影像学和分子标志物等组学</w:t>
      </w: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lastRenderedPageBreak/>
        <w:t>信息与临床信息，分析并提取诊治关键技术和有效策略，建立维护老年人功能的干预措施与方案。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成果考核形式：产生不少于3项针对老年人功能退行性疾病协同诊疗的关键技术，建立并评估至少2项维护老年人功能的干预措施与方案，更新诊疗专家共识及指南。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领域六：儿童肥胖与代谢疾病诊治方案和干预研究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主要针对儿童肥胖与代谢性疾病，开展相关诊治方案和干预技术研究，明确其易感性、危害性和可逆性，研究并制订相关优化治疗方案，建立标准化干预方案与流程，评估其预防和治疗效果，揭示儿童肥胖与代谢性疾病的病因和发生发展规律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成果考核形式:制定新的儿童代谢疾病的行业标准或指南，建立1套覆盖多场景（社区、家庭、学校）的儿童相关健康指导标准和服务标准，发掘儿童肥胖与代谢性疾病干预新靶标3-5个，申请专利1-2项。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领域七：口腔常见高发疾病诊治技术产品研究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主要研究内容：主要针对颌面部、口腔黏膜、牙周牙髓等口腔常见高发疾病，开展诊治新技术、新方法研究，利用分子标志物、智能影像、3D打印、干细胞等先进技术，提高口腔常见高发疾病的精准诊治效率，开展干预、治疗措施的效果评价，结合转化要求，开展高性能的新型口腔医用材料研究。</w:t>
      </w:r>
    </w:p>
    <w:p w:rsidR="00793F43" w:rsidRPr="007F550B" w:rsidRDefault="00793F43" w:rsidP="00793F43">
      <w:pPr>
        <w:widowControl/>
        <w:shd w:val="clear" w:color="auto" w:fill="FFFFFF"/>
        <w:spacing w:line="560" w:lineRule="exact"/>
        <w:ind w:firstLine="420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7F550B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lastRenderedPageBreak/>
        <w:t>成果考核形式:建立口腔常见高发疾病预防、诊断、治疗的标准规范和技术指南，形成个体化精准治疗新方案，开发1套具有自主知识产权的技术产品，申请专利1-2项。</w:t>
      </w:r>
    </w:p>
    <w:p w:rsidR="00793F43" w:rsidRPr="007F550B" w:rsidRDefault="00793F43" w:rsidP="00793F43">
      <w:pPr>
        <w:spacing w:line="560" w:lineRule="exact"/>
        <w:rPr>
          <w:rFonts w:ascii="楷体" w:eastAsia="楷体" w:hAnsi="楷体"/>
          <w:color w:val="000000" w:themeColor="text1"/>
          <w:sz w:val="32"/>
          <w:szCs w:val="32"/>
        </w:rPr>
      </w:pPr>
    </w:p>
    <w:p w:rsidR="009518CC" w:rsidRPr="00793F43" w:rsidRDefault="009518CC"/>
    <w:sectPr w:rsidR="009518CC" w:rsidRPr="0079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CC" w:rsidRDefault="009518CC" w:rsidP="00793F43">
      <w:r>
        <w:separator/>
      </w:r>
    </w:p>
  </w:endnote>
  <w:endnote w:type="continuationSeparator" w:id="1">
    <w:p w:rsidR="009518CC" w:rsidRDefault="009518CC" w:rsidP="0079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CC" w:rsidRDefault="009518CC" w:rsidP="00793F43">
      <w:r>
        <w:separator/>
      </w:r>
    </w:p>
  </w:footnote>
  <w:footnote w:type="continuationSeparator" w:id="1">
    <w:p w:rsidR="009518CC" w:rsidRDefault="009518CC" w:rsidP="00793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43"/>
    <w:rsid w:val="00793F43"/>
    <w:rsid w:val="0095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2021-07-21T06:21:00Z</dcterms:created>
  <dcterms:modified xsi:type="dcterms:W3CDTF">2021-07-21T06:21:00Z</dcterms:modified>
</cp:coreProperties>
</file>